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771C7C" w14:textId="04DCEF24" w:rsidR="008A147B" w:rsidRPr="00FB2983" w:rsidRDefault="002F3DAE" w:rsidP="002F3DA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038CABF9" w14:textId="77777777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14268504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dotyczy cyklu kształcenia  20</w:t>
      </w:r>
      <w:r w:rsidR="002F3DAE">
        <w:rPr>
          <w:rFonts w:ascii="Corbel" w:hAnsi="Corbel"/>
          <w:b/>
          <w:smallCaps/>
          <w:sz w:val="24"/>
          <w:szCs w:val="24"/>
        </w:rPr>
        <w:t>2</w:t>
      </w:r>
      <w:r w:rsidR="003D71B4">
        <w:rPr>
          <w:rFonts w:ascii="Corbel" w:hAnsi="Corbel"/>
          <w:b/>
          <w:smallCaps/>
          <w:sz w:val="24"/>
          <w:szCs w:val="24"/>
        </w:rPr>
        <w:t>1</w:t>
      </w:r>
      <w:r w:rsidRPr="00E37D22">
        <w:rPr>
          <w:rFonts w:ascii="Corbel" w:hAnsi="Corbel"/>
          <w:b/>
          <w:smallCaps/>
          <w:sz w:val="24"/>
          <w:szCs w:val="24"/>
        </w:rPr>
        <w:t>-202</w:t>
      </w:r>
      <w:r w:rsidR="003D71B4">
        <w:rPr>
          <w:rFonts w:ascii="Corbel" w:hAnsi="Corbel"/>
          <w:b/>
          <w:smallCaps/>
          <w:sz w:val="24"/>
          <w:szCs w:val="24"/>
        </w:rPr>
        <w:t>4</w:t>
      </w:r>
    </w:p>
    <w:p w14:paraId="52555D74" w14:textId="77AD48CA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D71B4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</w:t>
      </w:r>
      <w:r w:rsidR="003D71B4">
        <w:rPr>
          <w:rFonts w:ascii="Corbel" w:hAnsi="Corbel"/>
          <w:sz w:val="20"/>
          <w:szCs w:val="20"/>
        </w:rPr>
        <w:t>24</w:t>
      </w:r>
      <w:bookmarkStart w:id="0" w:name="_GoBack"/>
      <w:bookmarkEnd w:id="0"/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00890380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00890380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>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00890380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00890380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00890380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00890380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00890380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  <w:proofErr w:type="spellEnd"/>
          </w:p>
        </w:tc>
      </w:tr>
      <w:tr w:rsidR="008A147B" w:rsidRPr="00E37D22" w14:paraId="68B3A367" w14:textId="77777777" w:rsidTr="00890380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3428ADCA" w:rsidR="008A147B" w:rsidRPr="003248D8" w:rsidRDefault="003248D8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3248D8">
              <w:rPr>
                <w:rFonts w:ascii="Corbel" w:hAnsi="Corbel"/>
                <w:bCs/>
                <w:sz w:val="24"/>
                <w:szCs w:val="24"/>
              </w:rPr>
              <w:t>Niestacjonarne</w:t>
            </w:r>
          </w:p>
        </w:tc>
      </w:tr>
      <w:tr w:rsidR="008A147B" w:rsidRPr="00E37D22" w14:paraId="6E064E72" w14:textId="77777777" w:rsidTr="00890380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00890380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00890380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A147B" w:rsidRPr="00E37D22" w14:paraId="55E0C67B" w14:textId="77777777" w:rsidTr="00890380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2F47262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>
              <w:rPr>
                <w:rFonts w:ascii="Corbel" w:hAnsi="Corbel"/>
                <w:sz w:val="24"/>
                <w:szCs w:val="24"/>
              </w:rPr>
              <w:t>Leszek Michalczyk</w:t>
            </w:r>
          </w:p>
        </w:tc>
      </w:tr>
      <w:tr w:rsidR="008A147B" w:rsidRPr="00E37D22" w14:paraId="22AD97FD" w14:textId="77777777" w:rsidTr="00890380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2F538831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>
              <w:rPr>
                <w:rFonts w:ascii="Corbel" w:hAnsi="Corbel"/>
                <w:sz w:val="24"/>
                <w:szCs w:val="24"/>
              </w:rPr>
              <w:t>Leszek Michalczyk</w:t>
            </w:r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1.Formy zajęć dydaktycznych, wymiar godzin i punktów </w:t>
      </w:r>
      <w:proofErr w:type="spellStart"/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ECTS</w:t>
      </w:r>
      <w:proofErr w:type="spellEnd"/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9"/>
        <w:gridCol w:w="851"/>
        <w:gridCol w:w="794"/>
        <w:gridCol w:w="817"/>
        <w:gridCol w:w="749"/>
        <w:gridCol w:w="942"/>
        <w:gridCol w:w="1177"/>
        <w:gridCol w:w="1566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Liczba pkt </w:t>
            </w: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ECTS</w:t>
            </w:r>
            <w:proofErr w:type="spellEnd"/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6CC94DFC" w:rsidR="008A147B" w:rsidRPr="00E37D22" w:rsidRDefault="003248D8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7C2E94A3" w:rsidR="008A147B" w:rsidRPr="00E37D22" w:rsidRDefault="003248D8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5874F276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>Egzamin</w:t>
      </w:r>
    </w:p>
    <w:p w14:paraId="1986781B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lastRenderedPageBreak/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8530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softHyphen/>
              <w:t>_01</w:t>
            </w:r>
          </w:p>
        </w:tc>
        <w:tc>
          <w:tcPr>
            <w:tcW w:w="6096" w:type="dxa"/>
          </w:tcPr>
          <w:p w14:paraId="65FEF5D5" w14:textId="55EEC94F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Posiądzie wiedzę o procesie ewidencji typowych zdarzeń gospodarczych w jednostce budżetowej i ich interpretacji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05C919D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Rozwinie umiejętność interpretacji zdarzeń w jednostce budżetowej i umiejętność kontroli i zarządzania mieniem publicznym.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310A054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Dobiera odpowiednie metody do analizy i prezentacji danych z zakresu rachunkowości jednostki budżetowej w sprawozdaniach budżetowych.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sporządzanie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77777777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103" w:type="dxa"/>
          </w:tcPr>
          <w:p w14:paraId="30D98D17" w14:textId="7780081D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ćwiczenia, projekt zakładania 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080AFD9A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ćwiczeń: Zaliczenie przedmiotu to zaliczenie pisemne składając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zadania do rozwiązania i testu wielokrotnego wyboru.</w:t>
            </w:r>
          </w:p>
          <w:p w14:paraId="2ECC45A5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Egzamin- zadanie problemowe związane ze sprawdzeniem wiedzy teoretycznej i zadanie praktyczne związane z księgowaniem operacji typowych dla jednostek budżetowych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lastRenderedPageBreak/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E37D22">
        <w:rPr>
          <w:rFonts w:ascii="Corbel" w:hAnsi="Corbel"/>
          <w:b/>
          <w:sz w:val="24"/>
          <w:szCs w:val="24"/>
        </w:rPr>
        <w:t>ECTS</w:t>
      </w:r>
      <w:proofErr w:type="spellEnd"/>
      <w:r w:rsidRPr="00E37D22">
        <w:rPr>
          <w:rFonts w:ascii="Corbel" w:hAnsi="Corbel"/>
          <w:b/>
          <w:sz w:val="24"/>
          <w:szCs w:val="24"/>
        </w:rPr>
        <w:t xml:space="preserve">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16210FB4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kontaktowe wynikające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2A729F9A" w:rsidR="008A147B" w:rsidRPr="00E37D22" w:rsidRDefault="003248D8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</w:t>
            </w:r>
            <w:proofErr w:type="spellStart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niekontaktowe</w:t>
            </w:r>
            <w:proofErr w:type="spellEnd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7167182E" w:rsidR="008A147B" w:rsidRPr="00E37D22" w:rsidRDefault="003248D8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SUMARYCZNA LICZBA PUNKTÓW </w:t>
            </w:r>
            <w:proofErr w:type="spellStart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35D4244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 xml:space="preserve">* Należy uwzględnić, że 1 pkt </w:t>
      </w:r>
      <w:proofErr w:type="spellStart"/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ECTS</w:t>
      </w:r>
      <w:proofErr w:type="spellEnd"/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 xml:space="preserve">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0891280F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K. Winiarska, M.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>- 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A. Zysnarska, Dokumentacja zasad (polityki ) rachunkowości w jednostkach budżetowych, w zakładach budżetowych i gospodarstwach pomocniczych jednostek budżetowych,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ODDK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Hellich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, Rachunkowość jednostek samorządowych, Centrum Doradztwa i Informacji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 sp. z o.o., Warszawa 2008</w:t>
            </w:r>
          </w:p>
          <w:p w14:paraId="36D97353" w14:textId="408ABEA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J.Potoczny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 , Rachunkowość budżetowa,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WWSB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, Poznań 2012 </w:t>
            </w:r>
          </w:p>
          <w:p w14:paraId="4F2A1A6F" w14:textId="6EC61B0B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bieżąca, aktualne akty normatywne.</w:t>
            </w:r>
            <w:r w:rsidRPr="00E37D22">
              <w:rPr>
                <w:rFonts w:ascii="Corbel" w:hAnsi="Corbel"/>
                <w:sz w:val="24"/>
                <w:szCs w:val="24"/>
              </w:rPr>
              <w:tab/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</w:p>
    <w:p w14:paraId="4176784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8F1B0F5" w14:textId="77777777" w:rsidR="008A147B" w:rsidRPr="00997863" w:rsidRDefault="008A147B" w:rsidP="008A147B">
      <w:pPr>
        <w:rPr>
          <w:rFonts w:ascii="Corbel" w:hAnsi="Corbel"/>
        </w:rPr>
      </w:pPr>
    </w:p>
    <w:p w14:paraId="6B1E8D6E" w14:textId="77777777" w:rsidR="004E334C" w:rsidRDefault="004E334C"/>
    <w:p w14:paraId="0E249A7E" w14:textId="77777777" w:rsidR="008A147B" w:rsidRDefault="008A147B"/>
    <w:p w14:paraId="2D478C0C" w14:textId="77777777" w:rsidR="008A147B" w:rsidRDefault="008A147B"/>
    <w:sectPr w:rsidR="008A14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47B"/>
    <w:rsid w:val="000078AE"/>
    <w:rsid w:val="000E6F30"/>
    <w:rsid w:val="0028616E"/>
    <w:rsid w:val="002F3DAE"/>
    <w:rsid w:val="003248D8"/>
    <w:rsid w:val="003D71B4"/>
    <w:rsid w:val="004E334C"/>
    <w:rsid w:val="00595BB5"/>
    <w:rsid w:val="007161D8"/>
    <w:rsid w:val="008A147B"/>
    <w:rsid w:val="00915980"/>
    <w:rsid w:val="00BB0C12"/>
    <w:rsid w:val="00E37D22"/>
    <w:rsid w:val="00F4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  <w15:docId w15:val="{53AF4A98-A09B-4DCF-9A7E-91098AA3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7ACD5-E513-4A1C-A3BA-47E3C2BE9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986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Sekcja Jakości i Akr. KNS</cp:lastModifiedBy>
  <cp:revision>8</cp:revision>
  <dcterms:created xsi:type="dcterms:W3CDTF">2020-12-03T16:54:00Z</dcterms:created>
  <dcterms:modified xsi:type="dcterms:W3CDTF">2021-09-03T09:18:00Z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